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t>Plagiarism</w:t>
      </w:r>
      <w:r>
        <w:rPr>
          <w:rFonts w:hint="default" w:ascii="Arial" w:hAnsi="Arial" w:eastAsia="宋体" w:cs="Arial"/>
          <w:b/>
          <w:bCs/>
          <w:i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/>
          <w:bCs/>
          <w:i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"http://www.nrronline.org/contributors.asp" </w:instrText>
      </w:r>
      <w:r>
        <w:rPr>
          <w:rFonts w:hint="default" w:ascii="Arial" w:hAnsi="Arial" w:eastAsia="宋体" w:cs="Arial"/>
          <w:b/>
          <w:bCs/>
          <w:i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b/>
          <w:bCs/>
          <w:i w:val="0"/>
          <w:caps w:val="0"/>
          <w:color w:val="auto"/>
          <w:spacing w:val="0"/>
          <w:sz w:val="24"/>
          <w:szCs w:val="24"/>
          <w:u w:val="none"/>
        </w:rPr>
        <w:t>:www.nrronline.org/contributors.asp</w:t>
      </w:r>
      <w:r>
        <w:rPr>
          <w:rFonts w:hint="default" w:ascii="Arial" w:hAnsi="Arial" w:eastAsia="宋体" w:cs="Arial"/>
          <w:b/>
          <w:bCs/>
          <w:i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/>
          <w:bCs/>
          <w:i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《中国神经再生研究（英文版）》(NRR)杂志文章投稿至出版的3次查重记录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1. 本刊对进入初审稿件文章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首次查重: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（1）要求所投的文章与他人或本人、本单位、本课题组已发表单篇文章的重复率应＜5%，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720" w:firstLineChars="3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与多篇文章的文字重复率应＜15%，非结果抄袭可返修；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（2）未在期刊公开发表的2年内的博士、硕士答辩论文及会议论文，不属于重复发表；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（3）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>文章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查重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>后单词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重复率不符合要求，但非恶意抄袭，会返给作者修改降低重复率，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作者修改文章后经再次查重至正常范围，文章方能进入本刊审稿程序；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2. 稿件第二次查重: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文章进入责编修稿件前，编辑将手动对比查重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>每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个表格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图片。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3. 稿件第三次查重: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文章进入终审前，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>编辑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再次进行文字、图片、表格查重；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4. 任何环节发现有图表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抄袭剽窃现象，文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章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内容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思想抄袭一律退稿；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（1）稿件经外审、作者首修后、编辑2次查重发现仍有抄袭现象而退稿时，除一律退稿外并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720" w:firstLineChars="3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扣版面服务费的10%；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文章经作者2次修改，进入终审前查重发现有文字、图片和表格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重复发表和抄袭剽窃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Chars="0" w:firstLine="720" w:firstLineChars="300"/>
        <w:textAlignment w:val="auto"/>
        <w:rPr>
          <w:rFonts w:hint="eastAsia" w:asciiTheme="minorEastAsia" w:hAnsiTheme="minorEastAsia" w:eastAsiaTheme="minorEastAsia" w:cstheme="minorEastAsia"/>
          <w:color w:val="auto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现象，有文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>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内容的思想抄袭，除一律退稿外并扣版面服务费的30%。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b/>
          <w:color w:val="auto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5. 《中国神经再生研究（英文版）》(NRR)3次查重记录表。</w:t>
      </w:r>
    </w:p>
    <w:p>
      <w:pPr>
        <w:ind w:firstLine="211" w:firstLineChars="100"/>
        <w:rPr>
          <w:rFonts w:hint="eastAsia" w:asciiTheme="minorEastAsia" w:hAnsiTheme="minorEastAsia" w:eastAsiaTheme="minorEastAsia" w:cstheme="minorEastAsia"/>
          <w:color w:val="auto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u w:val="none"/>
        </w:rPr>
        <w:t>《中国神经再生研究（英文版）》(NRR)杂志首次查重记录</w:t>
      </w:r>
    </w:p>
    <w:tbl>
      <w:tblPr>
        <w:tblStyle w:val="3"/>
        <w:tblW w:w="9150" w:type="dxa"/>
        <w:tblInd w:w="33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5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  <w:t>NRR杂志对文章重复率的评价：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1.单篇文</w:t>
            </w:r>
            <w:r>
              <w:rPr>
                <w:rFonts w:hint="eastAsia" w:asciiTheme="minorEastAsia" w:hAnsiTheme="minorEastAsia" w:cstheme="minorEastAsia"/>
                <w:color w:val="auto"/>
                <w:u w:val="none"/>
                <w:lang w:val="en-US" w:eastAsia="zh-CN"/>
              </w:rPr>
              <w:t>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重复率5%以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  <w:lang w:eastAsia="zh-CN"/>
              </w:rPr>
              <w:t>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，多篇文</w:t>
            </w:r>
            <w:r>
              <w:rPr>
                <w:rFonts w:hint="eastAsia" w:asciiTheme="minorEastAsia" w:hAnsiTheme="minorEastAsia" w:cstheme="minorEastAsia"/>
                <w:color w:val="auto"/>
                <w:u w:val="none"/>
                <w:lang w:val="en-US" w:eastAsia="zh-CN"/>
              </w:rPr>
              <w:t>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重复率15%以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  <w:lang w:eastAsia="zh-CN"/>
              </w:rPr>
              <w:t>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，非结果抄袭可返修；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2.重复他人图、表，有抄袭剽窃之嫌的文章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  <w:lang w:val="en-US" w:eastAsia="zh-CN"/>
              </w:rPr>
              <w:t>有文章内容的思想抄袭，一律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退稿。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5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  <w:t>英文专业查重结果：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u w:val="none"/>
        </w:rPr>
      </w:pPr>
    </w:p>
    <w:p>
      <w:pPr>
        <w:ind w:firstLine="211" w:firstLineChars="100"/>
        <w:rPr>
          <w:rFonts w:hint="eastAsia" w:asciiTheme="minorEastAsia" w:hAnsiTheme="minorEastAsia" w:eastAsiaTheme="minorEastAsia" w:cstheme="minorEastAsia"/>
          <w:b/>
          <w:color w:val="auto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u w:val="none"/>
        </w:rPr>
        <w:t>《中国神经再生研究（英文版）》(NRR)杂志2次查重记录</w:t>
      </w:r>
    </w:p>
    <w:tbl>
      <w:tblPr>
        <w:tblStyle w:val="3"/>
        <w:tblW w:w="9140" w:type="dxa"/>
        <w:tblInd w:w="3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14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  <w:t>NRR杂志对文章重复率的评价：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1.单篇文</w:t>
            </w:r>
            <w:r>
              <w:rPr>
                <w:rFonts w:hint="eastAsia" w:asciiTheme="minorEastAsia" w:hAnsiTheme="minorEastAsia" w:cstheme="minorEastAsia"/>
                <w:color w:val="auto"/>
                <w:u w:val="none"/>
                <w:lang w:val="en-US" w:eastAsia="zh-CN"/>
              </w:rPr>
              <w:t>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重复率5%以上，多篇文</w:t>
            </w:r>
            <w:r>
              <w:rPr>
                <w:rFonts w:hint="eastAsia" w:asciiTheme="minorEastAsia" w:hAnsiTheme="minorEastAsia" w:cstheme="minorEastAsia"/>
                <w:color w:val="auto"/>
                <w:u w:val="none"/>
                <w:lang w:val="en-US" w:eastAsia="zh-CN"/>
              </w:rPr>
              <w:t>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重复率15%以上，非结果抄袭可返修；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2.重复他人图、表，有抄袭剽窃之嫌的文章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  <w:lang w:val="en-US" w:eastAsia="zh-CN"/>
              </w:rPr>
              <w:t>有文章内容的思想抄袭，一律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退稿。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14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  <w:t>英文专业查重结果：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u w:val="none"/>
        </w:rPr>
      </w:pPr>
    </w:p>
    <w:p>
      <w:pPr>
        <w:ind w:firstLine="211" w:firstLineChars="100"/>
        <w:rPr>
          <w:rFonts w:hint="eastAsia" w:asciiTheme="minorEastAsia" w:hAnsiTheme="minorEastAsia" w:eastAsiaTheme="minorEastAsia" w:cstheme="minorEastAsia"/>
          <w:b/>
          <w:color w:val="auto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u w:val="none"/>
        </w:rPr>
        <w:t>《中国神经再生研究（英文版）》(NRR)杂志3次查重记录</w:t>
      </w:r>
    </w:p>
    <w:tbl>
      <w:tblPr>
        <w:tblStyle w:val="3"/>
        <w:tblW w:w="9120" w:type="dxa"/>
        <w:tblInd w:w="3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12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  <w:t>NRR杂志对文章重复率的评价：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1.单篇文</w:t>
            </w:r>
            <w:r>
              <w:rPr>
                <w:rFonts w:hint="eastAsia" w:asciiTheme="minorEastAsia" w:hAnsiTheme="minorEastAsia" w:cstheme="minorEastAsia"/>
                <w:color w:val="auto"/>
                <w:u w:val="none"/>
                <w:lang w:val="en-US" w:eastAsia="zh-CN"/>
              </w:rPr>
              <w:t>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重复率5%以上，多篇文</w:t>
            </w:r>
            <w:r>
              <w:rPr>
                <w:rFonts w:hint="eastAsia" w:asciiTheme="minorEastAsia" w:hAnsiTheme="minorEastAsia" w:cstheme="minorEastAsia"/>
                <w:color w:val="auto"/>
                <w:u w:val="none"/>
                <w:lang w:val="en-US" w:eastAsia="zh-CN"/>
              </w:rPr>
              <w:t>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重复率15%以上，非结果抄袭可返修；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2.重复他人图、表，有抄袭剽窃之嫌的文章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  <w:lang w:val="en-US" w:eastAsia="zh-CN"/>
              </w:rPr>
              <w:t>有文章内容的思想抄袭，一律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u w:val="none"/>
              </w:rPr>
              <w:t>退稿。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12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u w:val="none"/>
              </w:rPr>
              <w:t>英文专业查重结果：</w:t>
            </w:r>
          </w:p>
        </w:tc>
      </w:tr>
    </w:tbl>
    <w:p/>
    <w:sectPr>
      <w:pgSz w:w="11906" w:h="16838"/>
      <w:pgMar w:top="1020" w:right="737" w:bottom="102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42EFCE"/>
    <w:multiLevelType w:val="singleLevel"/>
    <w:tmpl w:val="CA42EFCE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80890"/>
    <w:rsid w:val="3C48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2020-05-08T03:07:00Z</dcterms:created>
  <dc:creator>辽宁省细胞生物学学会秘书～李珊珊</dc:creator>
  <cp:lastModifiedBy>辽宁省细胞生物学学会秘书～李珊珊</cp:lastModifiedBy>
  <dcterms:modified xsi:type="dcterms:W3CDTF">2020-05-08T03:08:14Z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